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B0" w:rsidRDefault="00627FB0" w:rsidP="00627FB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МУНИЦИПАЛЬНОЕ ЗАДАНИЕ</w:t>
      </w:r>
    </w:p>
    <w:p w:rsidR="00627FB0" w:rsidRDefault="00627FB0" w:rsidP="00627FB0">
      <w:pPr>
        <w:spacing w:after="0"/>
        <w:ind w:left="284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Муниципальное бюджетное учреждение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Этнокультурный центр «Сандал»</w:t>
      </w:r>
    </w:p>
    <w:p w:rsidR="00627FB0" w:rsidRDefault="00627FB0" w:rsidP="00627FB0">
      <w:pPr>
        <w:shd w:val="clear" w:color="auto" w:fill="FFFFFF"/>
        <w:spacing w:before="125" w:after="135"/>
        <w:ind w:left="284"/>
        <w:jc w:val="center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before="125" w:after="135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before="125" w:after="135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 «Утверждаю» 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>«Согласовано»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  <w:r>
        <w:rPr>
          <w:rFonts w:ascii="Helvetica" w:eastAsia="Times New Roman" w:hAnsi="Helvetica" w:cs="Helvetica"/>
          <w:b/>
          <w:color w:val="333333"/>
          <w:sz w:val="20"/>
        </w:rPr>
        <w:t xml:space="preserve">Директор </w:t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color w:val="333333"/>
          <w:sz w:val="20"/>
        </w:rPr>
        <w:tab/>
        <w:t>Глава МО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МБУ ЭКЦ «Сандал»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 xml:space="preserve">     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 xml:space="preserve">           «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0"/>
        </w:rPr>
        <w:t>Шологонский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 национальный наслег»                                  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 ___________  Н.А.Степанова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>__________________ И.П.Степанов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«____»___________2019г.  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>«____»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  <w:t>_______________________2019г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ab/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bCs/>
          <w:color w:val="333333"/>
          <w:sz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МУНИЦИПАЛЬНОЕ ЗАДАНИЕ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b/>
          <w:bCs/>
          <w:color w:val="333333"/>
          <w:sz w:val="20"/>
          <w:u w:val="single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u w:val="single"/>
        </w:rPr>
        <w:t xml:space="preserve">Муниципальное бюджетное учреждение 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  <w:u w:val="single"/>
        </w:rPr>
        <w:t>Этнокультурный центр «Сандал»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bCs/>
          <w:color w:val="333333"/>
          <w:sz w:val="20"/>
        </w:rPr>
        <w:t>НА </w:t>
      </w:r>
      <w:r>
        <w:rPr>
          <w:rFonts w:ascii="Helvetica" w:eastAsia="Times New Roman" w:hAnsi="Helvetica" w:cs="Helvetica"/>
          <w:b/>
          <w:bCs/>
          <w:color w:val="333333"/>
          <w:sz w:val="20"/>
          <w:u w:val="single"/>
        </w:rPr>
        <w:t>2019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 xml:space="preserve"> ГОД И ПЛАНОВЫЙ ПЕРИОД 2019 – 2024гг.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</w:rPr>
        <w:t>(формируется при установлении муниципального задания  одновременно на выполнение муниципальной услуги (услуг)</w:t>
      </w:r>
      <w:proofErr w:type="gramEnd"/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и работы (работ) и содержит требования к оказанию муниципальной услуги (услуг)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jc w:val="center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1.Наименование 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0" w:type="auto"/>
        <w:tblInd w:w="-15" w:type="dxa"/>
        <w:tblCellMar>
          <w:left w:w="0" w:type="dxa"/>
          <w:right w:w="0" w:type="dxa"/>
        </w:tblCellMar>
        <w:tblLook w:val="04A0"/>
      </w:tblPr>
      <w:tblGrid>
        <w:gridCol w:w="10774"/>
      </w:tblGrid>
      <w:tr w:rsidR="00627FB0" w:rsidTr="00627FB0">
        <w:trPr>
          <w:trHeight w:val="684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1.Организация досуга жителей на базе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учреждений и проведение культурно-массовых мероприятий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2. Потребители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6"/>
        <w:gridCol w:w="5954"/>
        <w:gridCol w:w="354"/>
      </w:tblGrid>
      <w:tr w:rsidR="00627FB0" w:rsidTr="00627FB0">
        <w:trPr>
          <w:trHeight w:val="281"/>
        </w:trPr>
        <w:tc>
          <w:tcPr>
            <w:tcW w:w="4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категорий потребителей</w:t>
            </w:r>
          </w:p>
        </w:tc>
        <w:tc>
          <w:tcPr>
            <w:tcW w:w="595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 предоставления (безвозмездная, частично платная, платная)</w:t>
            </w:r>
          </w:p>
        </w:tc>
        <w:tc>
          <w:tcPr>
            <w:tcW w:w="6" w:type="dxa"/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7FB0" w:rsidTr="00627FB0">
        <w:trPr>
          <w:trHeight w:val="28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" w:type="dxa"/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7FB0" w:rsidTr="00627FB0"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"/>
              </w:numPr>
              <w:spacing w:before="100" w:beforeAutospacing="1" w:after="0" w:line="270" w:lineRule="atLeast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Безвозмездная, платная</w:t>
            </w:r>
          </w:p>
        </w:tc>
        <w:tc>
          <w:tcPr>
            <w:tcW w:w="6" w:type="dxa"/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7FB0" w:rsidTr="00627FB0">
        <w:tc>
          <w:tcPr>
            <w:tcW w:w="4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2"/>
              </w:numPr>
              <w:spacing w:before="100" w:beforeAutospacing="1" w:after="0" w:line="270" w:lineRule="atLeast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Безвозмездная, платная</w:t>
            </w:r>
          </w:p>
        </w:tc>
        <w:tc>
          <w:tcPr>
            <w:tcW w:w="6" w:type="dxa"/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3. Показатели, характеризующие объем и  (или) качество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3.1. Показатели, характеризующие качество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49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336"/>
        <w:gridCol w:w="1985"/>
        <w:gridCol w:w="1411"/>
        <w:gridCol w:w="1280"/>
        <w:gridCol w:w="1275"/>
        <w:gridCol w:w="1274"/>
        <w:gridCol w:w="1275"/>
        <w:gridCol w:w="1417"/>
        <w:gridCol w:w="1983"/>
      </w:tblGrid>
      <w:tr w:rsidR="00627FB0" w:rsidTr="00627FB0">
        <w:tc>
          <w:tcPr>
            <w:tcW w:w="17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6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</w:t>
            </w:r>
          </w:p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расчета</w:t>
            </w:r>
          </w:p>
        </w:tc>
        <w:tc>
          <w:tcPr>
            <w:tcW w:w="9915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показателей качества муниципальной услуги</w:t>
            </w:r>
          </w:p>
        </w:tc>
      </w:tr>
      <w:tr w:rsidR="00627FB0" w:rsidTr="00627FB0">
        <w:trPr>
          <w:trHeight w:val="1712"/>
        </w:trPr>
        <w:tc>
          <w:tcPr>
            <w:tcW w:w="1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финансовый год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Очередной финансовый год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 информации о значении показателя (исходные данные для ее расчета</w:t>
            </w:r>
            <w:proofErr w:type="gramEnd"/>
          </w:p>
        </w:tc>
      </w:tr>
      <w:tr w:rsidR="00627FB0" w:rsidTr="00627FB0">
        <w:tc>
          <w:tcPr>
            <w:tcW w:w="17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FB0" w:rsidTr="00627FB0">
        <w:trPr>
          <w:trHeight w:val="1719"/>
        </w:trPr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Абсолютная величина.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7FB0" w:rsidRDefault="00EA3E48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Отчетность      бюджетного учреждения культуры</w:t>
            </w:r>
          </w:p>
        </w:tc>
      </w:tr>
      <w:tr w:rsidR="00627FB0" w:rsidTr="00627FB0"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4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участников, принявших участие в мероприятиях от общего количества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жителей наслега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*100, где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УМ-количество участников, принявших участие в мероприятиях муниципального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района,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количество жителей муниципального района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>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3%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25%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30%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  муниципального бюджетного учреждения культуры</w:t>
            </w:r>
          </w:p>
        </w:tc>
      </w:tr>
      <w:tr w:rsidR="00627FB0" w:rsidTr="00627FB0"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5"/>
              </w:numPr>
              <w:spacing w:before="100" w:beforeAutospacing="1"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Доля участников, принявших участие в мероприятиях от общего количества участников мероприятий  наслега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Уркм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*100, где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количество участников, принявших участие в мероприятиях Ум – общее количество участников мероприятий муниципального района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2,8%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2,8%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муниципального бюджетного учреждения культуры</w:t>
            </w:r>
          </w:p>
        </w:tc>
      </w:tr>
      <w:tr w:rsidR="00627FB0" w:rsidTr="00627FB0"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6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 потребителей, удовлетворенных качеством и доступностью оказанной услуги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Ок+Оа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*100, где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Ок-число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опрошенных, удовлетворен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доступностью услуг;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Оа-число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опрошенных, удовлетворенных доступностью услуг;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О-общее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опрошенных</w:t>
            </w:r>
            <w:proofErr w:type="gramEnd"/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71%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78%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Определяется по результатам опросов потребителей услуги</w:t>
            </w:r>
          </w:p>
        </w:tc>
      </w:tr>
      <w:tr w:rsidR="00627FB0" w:rsidTr="00627FB0">
        <w:tc>
          <w:tcPr>
            <w:tcW w:w="1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7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Процент поступивших обоснованных жалоб потребителей, по которому были приняты меры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Жм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*100, где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число обоснованных жалоб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</w:t>
            </w:r>
            <w:proofErr w:type="spellEnd"/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бителей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поступивших в отчетном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</w:t>
            </w:r>
            <w:proofErr w:type="spellEnd"/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риоде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по которым в отчетном периоде были приняты меры;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число обоснованных жалоб потребителей, поступивших в отчетном периоде;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Определяется на основании жалоб потребителей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принятых по ним мерах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3.2. Объем оказываемой муниципальной услуги (в натуральных показателях)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4992" w:type="dxa"/>
        <w:tblCellMar>
          <w:left w:w="0" w:type="dxa"/>
          <w:right w:w="0" w:type="dxa"/>
        </w:tblCellMar>
        <w:tblLook w:val="04A0"/>
      </w:tblPr>
      <w:tblGrid>
        <w:gridCol w:w="2932"/>
        <w:gridCol w:w="1397"/>
        <w:gridCol w:w="1565"/>
        <w:gridCol w:w="1565"/>
        <w:gridCol w:w="1464"/>
        <w:gridCol w:w="1405"/>
        <w:gridCol w:w="1437"/>
        <w:gridCol w:w="1436"/>
        <w:gridCol w:w="1791"/>
      </w:tblGrid>
      <w:tr w:rsidR="00627FB0" w:rsidTr="00627FB0">
        <w:tc>
          <w:tcPr>
            <w:tcW w:w="293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показателя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Значение показателей объема муниципальной услуги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информации о значении показателя</w:t>
            </w:r>
          </w:p>
        </w:tc>
      </w:tr>
      <w:tr w:rsidR="00627FB0" w:rsidTr="00627FB0"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2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FB0" w:rsidTr="00627FB0">
        <w:trPr>
          <w:trHeight w:val="11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текущий финансовый год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2019     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очередной финансовый год        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   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2-й год планового периода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FB0" w:rsidTr="00627FB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1,0%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5,0%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10,0%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1.Количество проведенных мероприятий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81C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81CD0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B81CD0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B81CD0">
            <w:pPr>
              <w:spacing w:after="0"/>
              <w:ind w:left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B81CD0">
            <w:pPr>
              <w:spacing w:after="0"/>
              <w:ind w:left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7FB0" w:rsidRDefault="00B81CD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учреждения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7FB0" w:rsidTr="00627FB0">
        <w:tc>
          <w:tcPr>
            <w:tcW w:w="2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2.Число участников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1110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1162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1215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1374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FB0" w:rsidTr="00627FB0">
        <w:tc>
          <w:tcPr>
            <w:tcW w:w="29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3.Количество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формирований, постоянно действующих в течение года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7FB0" w:rsidRDefault="00627FB0" w:rsidP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CC4E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учета кружковой работы учреждения, форма № 7-НК «Сведения об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типа»</w:t>
            </w:r>
          </w:p>
        </w:tc>
      </w:tr>
      <w:tr w:rsidR="00627FB0" w:rsidTr="00627FB0">
        <w:trPr>
          <w:trHeight w:val="480"/>
        </w:trPr>
        <w:tc>
          <w:tcPr>
            <w:tcW w:w="293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1,0%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2.0%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3,0%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4,0%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5,0%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6,0%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учета кружковой работы учреждения, форма № 7-НК «Сведения об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</w:t>
            </w:r>
          </w:p>
        </w:tc>
      </w:tr>
      <w:tr w:rsidR="00627FB0" w:rsidTr="00627FB0">
        <w:trPr>
          <w:trHeight w:val="1905"/>
        </w:trPr>
        <w:tc>
          <w:tcPr>
            <w:tcW w:w="29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4.Количество 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формирований, постоянно действующих в течение года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42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45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27FB0" w:rsidRDefault="00627FB0" w:rsidP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C4E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7FB0" w:rsidRDefault="00627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4. Порядок оказания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 xml:space="preserve"> 4.1. Нормативные правовые акты, регулирующие порядок оказания 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1874" w:type="dxa"/>
        <w:tblCellMar>
          <w:left w:w="0" w:type="dxa"/>
          <w:right w:w="0" w:type="dxa"/>
        </w:tblCellMar>
        <w:tblLook w:val="04A0"/>
      </w:tblPr>
      <w:tblGrid>
        <w:gridCol w:w="11874"/>
      </w:tblGrid>
      <w:tr w:rsidR="00627FB0" w:rsidTr="00627FB0">
        <w:trPr>
          <w:trHeight w:val="1014"/>
        </w:trPr>
        <w:tc>
          <w:tcPr>
            <w:tcW w:w="11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Постановление Главы наслега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 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утверждении Административного регламента по предоставлению муниципальной услуги «Организация досуга жителей на базе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 и проведение культурно-массовых мероприятий»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Конституция Российской Федерации, ст.44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Закон от 06.10.2003 № 131-ФЗ  «Об общих принципах организации местного самоуправления в РФ»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 № 3612-1 от 09.10.1992 «Основы законодательства РФ о культуре»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Приказ министерства культуры и массовых коммуникаций РФ от 20.02.2008 № 32 «Об утверждении нормативов минимального ресурсного обеспечения услуг сельских учреждений культуры (общедоступных библиотек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учреждений)»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Устав МБУ ОРУК</w:t>
            </w:r>
          </w:p>
        </w:tc>
      </w:tr>
      <w:tr w:rsidR="00627FB0" w:rsidTr="00627FB0">
        <w:trPr>
          <w:trHeight w:val="487"/>
        </w:trPr>
        <w:tc>
          <w:tcPr>
            <w:tcW w:w="118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Устав муниципального бюджетного учреждения </w:t>
            </w:r>
            <w:r w:rsidR="00CC4E66">
              <w:rPr>
                <w:rFonts w:ascii="Times New Roman" w:eastAsia="Times New Roman" w:hAnsi="Times New Roman" w:cs="Times New Roman"/>
                <w:sz w:val="20"/>
                <w:szCs w:val="20"/>
              </w:rPr>
              <w:t>ЭКЦ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CC4E66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4.2. Порядок информирования потенциальных потребителей муниципальной услуги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1874" w:type="dxa"/>
        <w:tblCellMar>
          <w:left w:w="0" w:type="dxa"/>
          <w:right w:w="0" w:type="dxa"/>
        </w:tblCellMar>
        <w:tblLook w:val="04A0"/>
      </w:tblPr>
      <w:tblGrid>
        <w:gridCol w:w="4219"/>
        <w:gridCol w:w="3686"/>
        <w:gridCol w:w="3969"/>
      </w:tblGrid>
      <w:tr w:rsidR="00627FB0" w:rsidTr="00627FB0">
        <w:tc>
          <w:tcPr>
            <w:tcW w:w="4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8"/>
              </w:numPr>
              <w:spacing w:before="100" w:beforeAutospacing="1"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средств телефонной связи, электронного информирования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порядке,  процедуре и сроках  предоставления муниципальной услуги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момент обращения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9"/>
              </w:numPr>
              <w:spacing w:before="100" w:beforeAutospacing="1"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Публикации в СМИ, информационные материалы (брошюры, буклеты)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  процедуре предоставления муниципальной услуги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0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учреждении культуры на информационных стендах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порядке предоставления муниципальной услуги, месторасположение, график работы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номера телефонов, основания отказа в предоставлении муниципальной услуги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режимом работы учреждения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1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Посредством личного обращения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процедуре предоставления муниципальной услуги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10 минут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2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Письменный запрос на почтовый адрес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30 дней со дня регистрации обращения</w:t>
            </w:r>
          </w:p>
        </w:tc>
      </w:tr>
      <w:tr w:rsidR="00627FB0" w:rsidTr="00627FB0">
        <w:tc>
          <w:tcPr>
            <w:tcW w:w="42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3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Использование внешней рекламы на территории МР «Оленекский эвенкийский национальной район»</w:t>
            </w:r>
            <w:proofErr w:type="gramEnd"/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проведении выездных спектаклей, гастролей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Регулярно, не позднее, чем за 10-15 дней до проведения мероприятия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                                              </w:t>
      </w:r>
    </w:p>
    <w:p w:rsidR="00627FB0" w:rsidRDefault="00627FB0" w:rsidP="00627FB0">
      <w:pPr>
        <w:pStyle w:val="a4"/>
        <w:numPr>
          <w:ilvl w:val="0"/>
          <w:numId w:val="11"/>
        </w:numPr>
        <w:shd w:val="clear" w:color="auto" w:fill="FFFFFF"/>
        <w:spacing w:after="0" w:line="270" w:lineRule="atLeast"/>
        <w:ind w:left="284" w:firstLine="0"/>
        <w:jc w:val="lef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  <w:t>Основания для досрочного прекращения исполнения муниципального задания</w:t>
      </w:r>
    </w:p>
    <w:p w:rsidR="00627FB0" w:rsidRDefault="00627FB0" w:rsidP="00627FB0">
      <w:pPr>
        <w:pStyle w:val="a4"/>
        <w:shd w:val="clear" w:color="auto" w:fill="FFFFFF"/>
        <w:spacing w:after="0" w:line="270" w:lineRule="atLeast"/>
        <w:ind w:left="284"/>
        <w:jc w:val="left"/>
        <w:rPr>
          <w:rFonts w:ascii="Helvetica" w:eastAsia="Times New Roman" w:hAnsi="Helvetica" w:cs="Helvetica"/>
          <w:b/>
          <w:color w:val="333333"/>
          <w:sz w:val="20"/>
          <w:szCs w:val="20"/>
          <w:lang w:eastAsia="ru-RU"/>
        </w:rPr>
      </w:pPr>
    </w:p>
    <w:tbl>
      <w:tblPr>
        <w:tblW w:w="12435" w:type="dxa"/>
        <w:tblCellMar>
          <w:left w:w="0" w:type="dxa"/>
          <w:right w:w="0" w:type="dxa"/>
        </w:tblCellMar>
        <w:tblLook w:val="04A0"/>
      </w:tblPr>
      <w:tblGrid>
        <w:gridCol w:w="7905"/>
        <w:gridCol w:w="4530"/>
      </w:tblGrid>
      <w:tr w:rsidR="00627FB0" w:rsidTr="00627FB0">
        <w:tc>
          <w:tcPr>
            <w:tcW w:w="7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приостановления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Пункт, часть, статья и реквизиты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нормативного</w:t>
            </w:r>
            <w:proofErr w:type="gramEnd"/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правового акта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4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Ликвидация учреждения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Учредителя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5"/>
              </w:numPr>
              <w:spacing w:before="100" w:beforeAutospacing="1" w:after="0" w:line="240" w:lineRule="auto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 Учредителя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 .    Нарушение требований пожарной безопасности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 6, 12 Федерального закона о пожар-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ной безопасности от 21.12.1994 № 69-ФЗ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4.Нарушение санитарных правил при эксплуатации производственных, общественных помещений, зданий, сооружений, оборудования и транспорта             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 24 Федерального закона о санитарно-эпидемиологическом благополучии населения от 30.03.1999 № 52-ФЗ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5.При возникновении угрозы жизни или здоровью людей, эпидемии, эпизоотии, заражения (засорения)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подкарантинных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объектов карантинными объектами, наступлении радиационной аварии или техногенной катастрофы, причинении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средств, психотропных веществ и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прекурсоров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в области противодействия легализации (отмыванию) доходов, полученных преступным путем, и финансированию терроризма, в 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установленных в соответствии с федеральным законом в отношении иностранных граждан, лиц без гражданства и иностранных организаций ограничений на осуществление отдельных видов деятельности, в области правил привлечения иностранных граждан и лиц без гражданства к трудовой деятельности, осуществляемой на торговых объектах (в том числе в торговых комплексах), в области порядка управления, в области общественного порядка и общественной безопасности, а также в области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градостроительной деятельности             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ст. 3.12 Кодекса Российской Федерации об административных нарушениях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6.Нарушение сроков предоставления финансовой и документальной отчетности; невыполнение требований, установленных настоящим муниципальным заданием;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недостижение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уровня показателей, характеризующих качество и (или) объем оказываемых услуг, установленных в  муниципальном задании; несоблюдение учреждением порядка оказания муниципальных услуг.      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 выполнении муниципального задания</w:t>
            </w:r>
          </w:p>
        </w:tc>
      </w:tr>
      <w:tr w:rsidR="00627FB0" w:rsidTr="00627FB0">
        <w:tc>
          <w:tcPr>
            <w:tcW w:w="79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          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7.Исключение услуги, предоставляемой учреждением, из перечня муниципальных услуг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НПА Министерства культуры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6. Предельные цены (тарифы) на оплату муниципальной услуги в случаях, если нормативным правовым актом установлено их оказание на платной основе.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lastRenderedPageBreak/>
        <w:t> </w:t>
      </w: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6.1</w:t>
      </w:r>
      <w:r>
        <w:rPr>
          <w:rFonts w:ascii="Helvetica" w:eastAsia="Times New Roman" w:hAnsi="Helvetica" w:cs="Helvetica"/>
          <w:b/>
          <w:bCs/>
          <w:color w:val="333333"/>
          <w:sz w:val="20"/>
        </w:rPr>
        <w:t>. </w:t>
      </w: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Нормативный правовой акт, устанавливающий цены (тарифы) либо порядок их установления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11307"/>
      </w:tblGrid>
      <w:tr w:rsidR="00627FB0" w:rsidTr="00627FB0">
        <w:trPr>
          <w:trHeight w:val="675"/>
        </w:trPr>
        <w:tc>
          <w:tcPr>
            <w:tcW w:w="1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1.Постановление Главы МО «</w:t>
            </w:r>
            <w:proofErr w:type="spellStart"/>
            <w:r w:rsidR="00CC4E66">
              <w:rPr>
                <w:rFonts w:ascii="Times New Roman" w:eastAsia="Times New Roman" w:hAnsi="Times New Roman" w:cs="Times New Roman"/>
                <w:sz w:val="20"/>
                <w:szCs w:val="20"/>
              </w:rPr>
              <w:t>Шологонский</w:t>
            </w:r>
            <w:proofErr w:type="spellEnd"/>
            <w:r w:rsidR="00CC4E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национальный наслег»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________________________«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утверждении  Положения  «О порядке оказания платных услуг муниципальным бюджетным учреждением ЭЭЦ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Аарык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b/>
          <w:color w:val="333333"/>
          <w:sz w:val="20"/>
          <w:szCs w:val="20"/>
        </w:rPr>
        <w:t>6.2.Орган, устанавливающий цены (тарифы)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b/>
          <w:color w:val="333333"/>
          <w:sz w:val="20"/>
          <w:szCs w:val="20"/>
        </w:rPr>
      </w:pP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11307"/>
      </w:tblGrid>
      <w:tr w:rsidR="00627FB0" w:rsidTr="00627FB0">
        <w:trPr>
          <w:trHeight w:val="1032"/>
        </w:trPr>
        <w:tc>
          <w:tcPr>
            <w:tcW w:w="11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Цены (тарифы) на оплату муниципальной услуги либо порядок их установления  устанавливаются согласно ст. 52 Закона Российской Федерации от 09.10.1992 № 3612-1 "Основы законодательства РФ о культуре" цены (тарифы) на платные услуги и продукцию, включая цены на билеты, организации культуры устанавливают самостоятельно.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6.3. Значения предельных цен (тарифов)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11307" w:type="dxa"/>
        <w:tblCellMar>
          <w:left w:w="0" w:type="dxa"/>
          <w:right w:w="0" w:type="dxa"/>
        </w:tblCellMar>
        <w:tblLook w:val="04A0"/>
      </w:tblPr>
      <w:tblGrid>
        <w:gridCol w:w="750"/>
        <w:gridCol w:w="5312"/>
        <w:gridCol w:w="1984"/>
        <w:gridCol w:w="3261"/>
      </w:tblGrid>
      <w:tr w:rsidR="00627FB0" w:rsidTr="00627FB0">
        <w:tc>
          <w:tcPr>
            <w:tcW w:w="6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Цена (тариф), единица измерения</w:t>
            </w: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актового зала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Прокат музыкальной аппаратуры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авторского сценария по замыслу заказчика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24 часа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Копирование фонограммы песни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 минут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rPr>
          <w:trHeight w:val="73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запись презентации: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простая презентация</w:t>
            </w:r>
          </w:p>
          <w:p w:rsidR="00627FB0" w:rsidRDefault="00627FB0">
            <w:pPr>
              <w:spacing w:after="135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сложная презентация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 часов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Монтаж видеоролика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Видеозапись мероприятий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Прокат: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сценических костюмов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оформительской ткани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реквизита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135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договорная</w:t>
            </w:r>
          </w:p>
          <w:p w:rsidR="00627FB0" w:rsidRDefault="00627FB0">
            <w:pPr>
              <w:spacing w:after="135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договорная</w:t>
            </w:r>
          </w:p>
          <w:p w:rsidR="00627FB0" w:rsidRDefault="00627FB0">
            <w:pPr>
              <w:spacing w:after="135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договорная</w:t>
            </w: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Компьютерный набор текста: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простой текст А-4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сложный текст (графики, диаграммы и др.)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5 минут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30 минут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Распечатка документа на принтере А-4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1 минута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Сканирование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с редактированием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3 минуты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</w:rPr>
              <w:t>час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  <w:tr w:rsidR="00627FB0" w:rsidTr="00627FB0"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</w:pPr>
          </w:p>
        </w:tc>
      </w:tr>
    </w:tbl>
    <w:p w:rsidR="00627FB0" w:rsidRDefault="00627FB0" w:rsidP="00627FB0">
      <w:pPr>
        <w:pStyle w:val="a4"/>
        <w:numPr>
          <w:ilvl w:val="0"/>
          <w:numId w:val="13"/>
        </w:numPr>
        <w:shd w:val="clear" w:color="auto" w:fill="FFFFFF"/>
        <w:spacing w:after="0" w:line="270" w:lineRule="atLeast"/>
        <w:ind w:left="284" w:firstLine="0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Порядок 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контроля за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исполнением муниципального задания</w:t>
      </w:r>
    </w:p>
    <w:p w:rsidR="00627FB0" w:rsidRDefault="00627FB0" w:rsidP="00627FB0">
      <w:pPr>
        <w:pStyle w:val="a4"/>
        <w:shd w:val="clear" w:color="auto" w:fill="FFFFFF"/>
        <w:spacing w:after="0" w:line="270" w:lineRule="atLeast"/>
        <w:ind w:left="284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10881" w:type="dxa"/>
        <w:tblCellMar>
          <w:left w:w="0" w:type="dxa"/>
          <w:right w:w="0" w:type="dxa"/>
        </w:tblCellMar>
        <w:tblLook w:val="04A0"/>
      </w:tblPr>
      <w:tblGrid>
        <w:gridCol w:w="3369"/>
        <w:gridCol w:w="2976"/>
        <w:gridCol w:w="4536"/>
      </w:tblGrid>
      <w:tr w:rsidR="00627FB0" w:rsidTr="00627FB0">
        <w:tc>
          <w:tcPr>
            <w:tcW w:w="3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CC4E6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Структурные подразделения администрации МО «</w:t>
            </w:r>
            <w:proofErr w:type="spellStart"/>
            <w:r w:rsidR="00CC4E66">
              <w:rPr>
                <w:rFonts w:ascii="Times New Roman" w:eastAsia="Times New Roman" w:hAnsi="Times New Roman" w:cs="Times New Roman"/>
                <w:sz w:val="20"/>
                <w:szCs w:val="20"/>
              </w:rPr>
              <w:t>Шологонский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национальный наслег», осуществляющие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исполнением муниципальной услуги</w:t>
            </w:r>
          </w:p>
        </w:tc>
      </w:tr>
      <w:tr w:rsidR="00627FB0" w:rsidTr="00627FB0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6"/>
              </w:numPr>
              <w:spacing w:before="100" w:beforeAutospacing="1" w:after="0" w:line="270" w:lineRule="atLeast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Выездная проверка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Общественный совет по культуре администрации МР «Оленекский эвенкийский национальный район»</w:t>
            </w:r>
          </w:p>
        </w:tc>
      </w:tr>
      <w:tr w:rsidR="00627FB0" w:rsidTr="00627FB0">
        <w:tc>
          <w:tcPr>
            <w:tcW w:w="33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7"/>
              </w:numPr>
              <w:spacing w:before="100" w:beforeAutospacing="1" w:after="0" w:line="270" w:lineRule="atLeast"/>
              <w:ind w:left="28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Камеральная проверка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поступления отчетности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Контрольно-ревизионная комиссия МР «Оленекский эвенкийский национальный район»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8. Требования к отчетности об исполнении муниципального задания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8.1. Форма отчета об исполнении муниципального задания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147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35"/>
        <w:gridCol w:w="1398"/>
        <w:gridCol w:w="1877"/>
        <w:gridCol w:w="2039"/>
        <w:gridCol w:w="2836"/>
        <w:gridCol w:w="3830"/>
      </w:tblGrid>
      <w:tr w:rsidR="00627FB0" w:rsidTr="00627FB0"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жденное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муниципальном задании на отчетный период</w:t>
            </w:r>
          </w:p>
        </w:tc>
        <w:tc>
          <w:tcPr>
            <w:tcW w:w="20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значение за отчётный период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Характеристика причин отклонений от запланированных значений</w:t>
            </w:r>
          </w:p>
        </w:tc>
        <w:tc>
          <w:tcPr>
            <w:tcW w:w="38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и) информации о фактическом значении показателя</w:t>
            </w:r>
          </w:p>
        </w:tc>
      </w:tr>
      <w:tr w:rsidR="00627FB0" w:rsidTr="00627FB0">
        <w:trPr>
          <w:trHeight w:val="427"/>
        </w:trPr>
        <w:tc>
          <w:tcPr>
            <w:tcW w:w="147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Объемы оказываемой муниципальной услуги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1.количество проведенных мероприятий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21B2F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21B2F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Отчетность бюджетного учреждения культуры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2.Число зрителей (охват)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549 </w:t>
            </w:r>
            <w:r w:rsidR="00627FB0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кварталам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квартал - </w:t>
            </w:r>
            <w:r w:rsidR="0095294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квартал – </w:t>
            </w:r>
            <w:r w:rsidR="0095294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3 квартал – </w:t>
            </w:r>
            <w:r w:rsidR="00952945">
              <w:rPr>
                <w:rFonts w:ascii="Times New Roman" w:eastAsia="Times New Roman" w:hAnsi="Times New Roman" w:cs="Times New Roman"/>
                <w:sz w:val="20"/>
                <w:szCs w:val="20"/>
              </w:rPr>
              <w:t>99</w:t>
            </w:r>
          </w:p>
          <w:p w:rsidR="00627FB0" w:rsidRDefault="00627FB0" w:rsidP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квартал -  </w:t>
            </w:r>
            <w:r w:rsidR="0095294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2945" w:rsidRDefault="00952945" w:rsidP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lastRenderedPageBreak/>
              <w:t xml:space="preserve">549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т.ч. по кварталам</w:t>
            </w:r>
          </w:p>
          <w:p w:rsidR="00952945" w:rsidRDefault="00952945" w:rsidP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квартал - 150</w:t>
            </w:r>
          </w:p>
          <w:p w:rsidR="00952945" w:rsidRDefault="00952945" w:rsidP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квартал – 150</w:t>
            </w:r>
          </w:p>
          <w:p w:rsidR="00952945" w:rsidRDefault="00952945" w:rsidP="00952945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 квартал – 99</w:t>
            </w:r>
          </w:p>
          <w:p w:rsidR="00627FB0" w:rsidRDefault="00952945" w:rsidP="00952945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 квартал -  150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9B78C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Повышение качества предоставляемых услуг, улучшение материально-технической базы МБУ </w:t>
            </w:r>
            <w:r w:rsidR="009B78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9B78C6">
              <w:rPr>
                <w:rFonts w:ascii="Times New Roman" w:eastAsia="Times New Roman" w:hAnsi="Times New Roman" w:cs="Times New Roman"/>
                <w:sz w:val="20"/>
                <w:szCs w:val="20"/>
              </w:rPr>
              <w:t>Сандал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Журнал учета кружковой работы учреждения, форма № 7-НК «Сведения об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типа»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 3.Количество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формирований, постоянно действующих в течение года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21B2F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21B2F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учета кружковой работы учреждения, форма № 7-НК «Сведения об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типа»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4.Количество 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формирований, постоянно действующих в течение года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B78C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42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9B78C6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участников клубных формирований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Журнал учета кружковой работы учреждения, форма № 7-НК «Сведения об учреждении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типа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5.Отсутствие обоснованных жалоб на действия работников учреждения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нет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нет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27FB0" w:rsidTr="00627FB0">
        <w:tc>
          <w:tcPr>
            <w:tcW w:w="14709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оказываемой муниципальной услуги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1.Доля населения, участвующего в  кружковой работе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8,7%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8,7%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учета кружковой работы учреждения</w:t>
            </w:r>
          </w:p>
        </w:tc>
      </w:tr>
      <w:tr w:rsidR="00627FB0" w:rsidTr="00627FB0">
        <w:tc>
          <w:tcPr>
            <w:tcW w:w="2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2.Уровень удовлетворенности населения качеством и доступностью кружковой работы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71%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71%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Причины отклонения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Результаты опроса населения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8.2. Сроки представления отчетов об исполнении муниципального задания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11023" w:type="dxa"/>
        <w:tblCellMar>
          <w:left w:w="0" w:type="dxa"/>
          <w:right w:w="0" w:type="dxa"/>
        </w:tblCellMar>
        <w:tblLook w:val="04A0"/>
      </w:tblPr>
      <w:tblGrid>
        <w:gridCol w:w="11023"/>
      </w:tblGrid>
      <w:tr w:rsidR="00627FB0" w:rsidTr="00627FB0"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об исполнении муниципального задания предоставляется ежеквартально не позднее 15-го числа месяца следующего за отчетным периодом по запросу ГРБС.</w:t>
            </w:r>
          </w:p>
        </w:tc>
      </w:tr>
    </w:tbl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8.3. Иные требования к отчетности об исполнении муниципального задания</w:t>
      </w:r>
    </w:p>
    <w:p w:rsidR="00627FB0" w:rsidRDefault="00627FB0" w:rsidP="00627FB0">
      <w:pPr>
        <w:shd w:val="clear" w:color="auto" w:fill="FFFFFF"/>
        <w:spacing w:after="0"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tbl>
      <w:tblPr>
        <w:tblW w:w="11023" w:type="dxa"/>
        <w:tblCellMar>
          <w:left w:w="0" w:type="dxa"/>
          <w:right w:w="0" w:type="dxa"/>
        </w:tblCellMar>
        <w:tblLook w:val="04A0"/>
      </w:tblPr>
      <w:tblGrid>
        <w:gridCol w:w="11023"/>
      </w:tblGrid>
      <w:tr w:rsidR="00627FB0" w:rsidTr="00627FB0">
        <w:tc>
          <w:tcPr>
            <w:tcW w:w="1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Информация о кредиторской задолженности, в том числе просроченной, копии подтверждающих документов о финансовых расходах, пояснительная записка.</w:t>
            </w:r>
          </w:p>
        </w:tc>
      </w:tr>
    </w:tbl>
    <w:p w:rsidR="00627FB0" w:rsidRDefault="00627FB0" w:rsidP="00627FB0">
      <w:pPr>
        <w:pStyle w:val="a4"/>
        <w:numPr>
          <w:ilvl w:val="1"/>
          <w:numId w:val="14"/>
        </w:numPr>
        <w:shd w:val="clear" w:color="auto" w:fill="FFFFFF"/>
        <w:spacing w:after="0" w:line="270" w:lineRule="atLeast"/>
        <w:ind w:left="284" w:firstLine="0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Иная информация, необходимая для исполнения (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контроля за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исполнением) муниципального задания</w:t>
      </w:r>
    </w:p>
    <w:p w:rsidR="00627FB0" w:rsidRDefault="00627FB0" w:rsidP="00627FB0">
      <w:pPr>
        <w:pStyle w:val="a4"/>
        <w:shd w:val="clear" w:color="auto" w:fill="FFFFFF"/>
        <w:spacing w:after="0" w:line="270" w:lineRule="atLeast"/>
        <w:ind w:left="284"/>
        <w:jc w:val="lef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tbl>
      <w:tblPr>
        <w:tblW w:w="11023" w:type="dxa"/>
        <w:tblCellMar>
          <w:left w:w="0" w:type="dxa"/>
          <w:right w:w="0" w:type="dxa"/>
        </w:tblCellMar>
        <w:tblLook w:val="04A0"/>
      </w:tblPr>
      <w:tblGrid>
        <w:gridCol w:w="2802"/>
        <w:gridCol w:w="1181"/>
        <w:gridCol w:w="1701"/>
        <w:gridCol w:w="1370"/>
        <w:gridCol w:w="1985"/>
        <w:gridCol w:w="1984"/>
      </w:tblGrid>
      <w:tr w:rsidR="00627FB0" w:rsidTr="00627FB0">
        <w:tc>
          <w:tcPr>
            <w:tcW w:w="11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усмотрению ГРБС.</w:t>
            </w:r>
          </w:p>
        </w:tc>
      </w:tr>
      <w:tr w:rsidR="00627FB0" w:rsidTr="00627FB0">
        <w:tc>
          <w:tcPr>
            <w:tcW w:w="28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 w:rsidP="00785348">
            <w:pPr>
              <w:numPr>
                <w:ilvl w:val="0"/>
                <w:numId w:val="18"/>
              </w:numPr>
              <w:spacing w:before="100" w:beforeAutospacing="1" w:after="100" w:afterAutospacing="1" w:line="270" w:lineRule="atLeast"/>
              <w:ind w:left="284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(или мотивированный отказ в предоставлении) информации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да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7FB0" w:rsidRDefault="00627FB0">
            <w:pPr>
              <w:spacing w:after="0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отчет учреждения</w:t>
            </w:r>
          </w:p>
        </w:tc>
      </w:tr>
    </w:tbl>
    <w:p w:rsidR="00627FB0" w:rsidRDefault="00627FB0" w:rsidP="00627FB0">
      <w:pPr>
        <w:shd w:val="clear" w:color="auto" w:fill="FFFFFF"/>
        <w:spacing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627FB0" w:rsidRDefault="00627FB0" w:rsidP="00627FB0">
      <w:pPr>
        <w:shd w:val="clear" w:color="auto" w:fill="FFFFFF"/>
        <w:spacing w:line="270" w:lineRule="atLeast"/>
        <w:ind w:left="284"/>
        <w:rPr>
          <w:rFonts w:ascii="Helvetica" w:eastAsia="Times New Roman" w:hAnsi="Helvetica" w:cs="Helvetica"/>
          <w:color w:val="333333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r>
        <w:rPr>
          <w:rFonts w:ascii="Helvetica" w:eastAsia="Times New Roman" w:hAnsi="Helvetica" w:cs="Helvetica"/>
          <w:b/>
          <w:bCs/>
          <w:color w:val="555555"/>
          <w:sz w:val="20"/>
          <w:szCs w:val="20"/>
        </w:rPr>
        <w:t xml:space="preserve">Опубликовано </w:t>
      </w:r>
    </w:p>
    <w:p w:rsidR="00627FB0" w:rsidRDefault="00627FB0" w:rsidP="00627FB0">
      <w:pPr>
        <w:ind w:left="284"/>
      </w:pPr>
    </w:p>
    <w:p w:rsidR="00627FB0" w:rsidRDefault="00627FB0" w:rsidP="00627FB0"/>
    <w:p w:rsidR="005A6F67" w:rsidRDefault="005A6F67"/>
    <w:sectPr w:rsidR="005A6F67" w:rsidSect="00627F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BF1"/>
    <w:multiLevelType w:val="multilevel"/>
    <w:tmpl w:val="B0BA7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B5923"/>
    <w:multiLevelType w:val="multilevel"/>
    <w:tmpl w:val="C44C4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B640E4"/>
    <w:multiLevelType w:val="multilevel"/>
    <w:tmpl w:val="6A70D2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7DC4"/>
    <w:multiLevelType w:val="multilevel"/>
    <w:tmpl w:val="85E6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6B1D2C"/>
    <w:multiLevelType w:val="multilevel"/>
    <w:tmpl w:val="8AB26B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4F271F"/>
    <w:multiLevelType w:val="multilevel"/>
    <w:tmpl w:val="364A2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F306C"/>
    <w:multiLevelType w:val="multilevel"/>
    <w:tmpl w:val="A51A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8B4715"/>
    <w:multiLevelType w:val="multilevel"/>
    <w:tmpl w:val="89FE6B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FA22D6"/>
    <w:multiLevelType w:val="multilevel"/>
    <w:tmpl w:val="358E0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891CE0"/>
    <w:multiLevelType w:val="multilevel"/>
    <w:tmpl w:val="0D48BE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9531DA"/>
    <w:multiLevelType w:val="multilevel"/>
    <w:tmpl w:val="874E5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8A47C3"/>
    <w:multiLevelType w:val="multilevel"/>
    <w:tmpl w:val="AFDE53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2B626F"/>
    <w:multiLevelType w:val="multilevel"/>
    <w:tmpl w:val="193A0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3B60CA"/>
    <w:multiLevelType w:val="multilevel"/>
    <w:tmpl w:val="DCCC3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384212"/>
    <w:multiLevelType w:val="multilevel"/>
    <w:tmpl w:val="D1789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65BD5"/>
    <w:multiLevelType w:val="multilevel"/>
    <w:tmpl w:val="ABC2E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1359D3"/>
    <w:multiLevelType w:val="multilevel"/>
    <w:tmpl w:val="63169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BF28EA"/>
    <w:multiLevelType w:val="multilevel"/>
    <w:tmpl w:val="AAE8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7FB0"/>
    <w:rsid w:val="005A6F67"/>
    <w:rsid w:val="00627FB0"/>
    <w:rsid w:val="00633B50"/>
    <w:rsid w:val="00921B2F"/>
    <w:rsid w:val="00952945"/>
    <w:rsid w:val="009B78C6"/>
    <w:rsid w:val="00B81CD0"/>
    <w:rsid w:val="00CC4E66"/>
    <w:rsid w:val="00EA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FB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27FB0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2019-11-21T06:48:00Z</dcterms:created>
  <dcterms:modified xsi:type="dcterms:W3CDTF">2019-11-21T07:42:00Z</dcterms:modified>
</cp:coreProperties>
</file>